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2F61D" w14:textId="435F74C7" w:rsidR="00D646D1" w:rsidRPr="00366AE5" w:rsidRDefault="000B10E2">
      <w:pPr>
        <w:rPr>
          <w:b/>
          <w:bCs/>
        </w:rPr>
      </w:pPr>
      <w:r w:rsidRPr="00366AE5">
        <w:rPr>
          <w:b/>
          <w:bCs/>
        </w:rPr>
        <w:t xml:space="preserve">Fragen Prof. </w:t>
      </w:r>
      <w:r w:rsidR="00F51D39" w:rsidRPr="00366AE5">
        <w:rPr>
          <w:b/>
          <w:bCs/>
        </w:rPr>
        <w:t xml:space="preserve">Dr. Emanuel V. </w:t>
      </w:r>
      <w:r w:rsidRPr="00366AE5">
        <w:rPr>
          <w:b/>
          <w:bCs/>
        </w:rPr>
        <w:t>Towfigh</w:t>
      </w:r>
      <w:r w:rsidR="00A16DCA" w:rsidRPr="00366AE5">
        <w:rPr>
          <w:b/>
          <w:bCs/>
        </w:rPr>
        <w:t xml:space="preserve"> für die</w:t>
      </w:r>
      <w:r w:rsidRPr="00366AE5">
        <w:rPr>
          <w:b/>
          <w:bCs/>
        </w:rPr>
        <w:t xml:space="preserve"> djbz</w:t>
      </w:r>
    </w:p>
    <w:p w14:paraId="37889E76" w14:textId="6BAE1B7C" w:rsidR="000B10E2" w:rsidRPr="00366AE5" w:rsidRDefault="000B10E2"/>
    <w:p w14:paraId="247D4BF8" w14:textId="09AC6A8B" w:rsidR="00A11A52" w:rsidRPr="00F66205" w:rsidRDefault="00F66205" w:rsidP="00F66205">
      <w:pPr>
        <w:rPr>
          <w:b/>
          <w:bCs/>
        </w:rPr>
      </w:pPr>
      <w:r w:rsidRPr="00F66205">
        <w:rPr>
          <w:b/>
          <w:bCs/>
        </w:rPr>
        <w:t>„Ergebnisunterschiede sind Ausdruck eines fundamentalen</w:t>
      </w:r>
      <w:r w:rsidRPr="00F66205">
        <w:rPr>
          <w:b/>
          <w:bCs/>
        </w:rPr>
        <w:t xml:space="preserve"> </w:t>
      </w:r>
      <w:r w:rsidRPr="00F66205">
        <w:rPr>
          <w:b/>
          <w:bCs/>
        </w:rPr>
        <w:t>gesellschaftlichen Problems“ – Interview</w:t>
      </w:r>
      <w:r w:rsidRPr="00F66205">
        <w:rPr>
          <w:b/>
          <w:bCs/>
        </w:rPr>
        <w:t xml:space="preserve"> mit Prof. Dr. Emanuel Towfigh</w:t>
      </w:r>
    </w:p>
    <w:p w14:paraId="7FCF9311" w14:textId="77777777" w:rsidR="00A11A52" w:rsidRPr="00366AE5" w:rsidRDefault="00A11A52"/>
    <w:p w14:paraId="32E5C1AE" w14:textId="1C02120C" w:rsidR="00FB2DE9" w:rsidRPr="00E01E99" w:rsidRDefault="000B10E2" w:rsidP="00021D80">
      <w:pPr>
        <w:jc w:val="both"/>
        <w:rPr>
          <w:b/>
          <w:bCs/>
        </w:rPr>
      </w:pPr>
      <w:r w:rsidRPr="00E01E99">
        <w:rPr>
          <w:b/>
          <w:bCs/>
        </w:rPr>
        <w:t>Lieber Herr Towfigh,</w:t>
      </w:r>
      <w:r w:rsidR="00021D80">
        <w:rPr>
          <w:b/>
          <w:bCs/>
        </w:rPr>
        <w:t xml:space="preserve"> </w:t>
      </w:r>
      <w:r w:rsidR="00610FDE" w:rsidRPr="00E01E99">
        <w:rPr>
          <w:b/>
          <w:bCs/>
        </w:rPr>
        <w:t>mit</w:t>
      </w:r>
      <w:r w:rsidR="00C459F1" w:rsidRPr="00E01E99">
        <w:rPr>
          <w:b/>
          <w:bCs/>
        </w:rPr>
        <w:t xml:space="preserve"> der von Ihnen zusammen mit </w:t>
      </w:r>
      <w:r w:rsidR="00A3769A" w:rsidRPr="00E01E99">
        <w:rPr>
          <w:b/>
          <w:bCs/>
        </w:rPr>
        <w:t>Christian</w:t>
      </w:r>
      <w:r w:rsidR="00C459F1" w:rsidRPr="00E01E99">
        <w:rPr>
          <w:b/>
          <w:bCs/>
        </w:rPr>
        <w:t xml:space="preserve"> Traxler und </w:t>
      </w:r>
      <w:r w:rsidR="00A3769A" w:rsidRPr="00E01E99">
        <w:rPr>
          <w:b/>
          <w:bCs/>
        </w:rPr>
        <w:t>Andreas</w:t>
      </w:r>
      <w:r w:rsidR="00C459F1" w:rsidRPr="00E01E99">
        <w:rPr>
          <w:b/>
          <w:bCs/>
        </w:rPr>
        <w:t xml:space="preserve"> Glöckner 2018 veröffentlichten Studie über Geschlechts- und Herkunftseffekte bei der Benotung juristischer Staatsprüfungen</w:t>
      </w:r>
      <w:r w:rsidR="00C459F1" w:rsidRPr="00E01E99">
        <w:rPr>
          <w:rStyle w:val="FootnoteReference"/>
          <w:b/>
          <w:bCs/>
        </w:rPr>
        <w:footnoteReference w:id="1"/>
      </w:r>
      <w:r w:rsidR="00DE7C13" w:rsidRPr="00E01E99">
        <w:rPr>
          <w:b/>
          <w:bCs/>
        </w:rPr>
        <w:t>, der Examensnoten</w:t>
      </w:r>
      <w:r w:rsidR="007A42AA" w:rsidRPr="00E01E99">
        <w:rPr>
          <w:b/>
          <w:bCs/>
        </w:rPr>
        <w:t xml:space="preserve"> aus NRW</w:t>
      </w:r>
      <w:r w:rsidR="00DE7C13" w:rsidRPr="00E01E99">
        <w:rPr>
          <w:b/>
          <w:bCs/>
        </w:rPr>
        <w:t xml:space="preserve"> von </w:t>
      </w:r>
      <w:r w:rsidR="008866C6">
        <w:rPr>
          <w:b/>
          <w:bCs/>
        </w:rPr>
        <w:t>fast</w:t>
      </w:r>
      <w:r w:rsidR="00DE7C13" w:rsidRPr="00E01E99">
        <w:rPr>
          <w:b/>
          <w:bCs/>
        </w:rPr>
        <w:t xml:space="preserve"> </w:t>
      </w:r>
      <w:r w:rsidR="008866C6">
        <w:rPr>
          <w:b/>
          <w:bCs/>
        </w:rPr>
        <w:t>20</w:t>
      </w:r>
      <w:r w:rsidR="00DE7C13" w:rsidRPr="00E01E99">
        <w:rPr>
          <w:b/>
          <w:bCs/>
        </w:rPr>
        <w:t>.000 Personen zugrunde liegen,</w:t>
      </w:r>
      <w:r w:rsidR="00321D50" w:rsidRPr="00E01E99">
        <w:rPr>
          <w:b/>
          <w:bCs/>
        </w:rPr>
        <w:t xml:space="preserve"> </w:t>
      </w:r>
      <w:r w:rsidR="00610FDE" w:rsidRPr="00E01E99">
        <w:rPr>
          <w:b/>
          <w:bCs/>
        </w:rPr>
        <w:t>zeigen</w:t>
      </w:r>
      <w:r w:rsidR="00321D50" w:rsidRPr="00E01E99">
        <w:rPr>
          <w:b/>
          <w:bCs/>
        </w:rPr>
        <w:t xml:space="preserve"> Sie, dass</w:t>
      </w:r>
      <w:r w:rsidR="000404AA" w:rsidRPr="00E01E99">
        <w:rPr>
          <w:b/>
          <w:bCs/>
        </w:rPr>
        <w:t xml:space="preserve"> Frauen und Menschen mit </w:t>
      </w:r>
      <w:r w:rsidR="00FB2DE9" w:rsidRPr="00E01E99">
        <w:rPr>
          <w:b/>
          <w:bCs/>
        </w:rPr>
        <w:t>Migrationshintergrund</w:t>
      </w:r>
      <w:r w:rsidR="000404AA" w:rsidRPr="00E01E99">
        <w:rPr>
          <w:b/>
          <w:bCs/>
        </w:rPr>
        <w:t xml:space="preserve"> in der mündlichen Prüfung im zweiten Examen im Vergleich schlechter abschneiden als männliche Kandidaten </w:t>
      </w:r>
      <w:r w:rsidR="00FB2DE9" w:rsidRPr="00E01E99">
        <w:rPr>
          <w:b/>
          <w:bCs/>
        </w:rPr>
        <w:t>ohne</w:t>
      </w:r>
      <w:r w:rsidR="003C3127" w:rsidRPr="00E01E99">
        <w:rPr>
          <w:b/>
          <w:bCs/>
        </w:rPr>
        <w:t xml:space="preserve"> Migrationshintergrund</w:t>
      </w:r>
      <w:r w:rsidR="000404AA" w:rsidRPr="00E01E99">
        <w:rPr>
          <w:b/>
          <w:bCs/>
        </w:rPr>
        <w:t xml:space="preserve">, die </w:t>
      </w:r>
      <w:r w:rsidR="00CB3FA7" w:rsidRPr="00E01E99">
        <w:rPr>
          <w:b/>
          <w:bCs/>
        </w:rPr>
        <w:t>dieselbe</w:t>
      </w:r>
      <w:r w:rsidR="00191E8B" w:rsidRPr="00E01E99">
        <w:rPr>
          <w:b/>
          <w:bCs/>
        </w:rPr>
        <w:t>n</w:t>
      </w:r>
      <w:r w:rsidR="00CB3FA7" w:rsidRPr="00E01E99">
        <w:rPr>
          <w:b/>
          <w:bCs/>
        </w:rPr>
        <w:t xml:space="preserve"> Abi</w:t>
      </w:r>
      <w:r w:rsidR="00D5467D">
        <w:rPr>
          <w:b/>
          <w:bCs/>
        </w:rPr>
        <w:t>tur</w:t>
      </w:r>
      <w:r w:rsidR="00CB3FA7" w:rsidRPr="00E01E99">
        <w:rPr>
          <w:b/>
          <w:bCs/>
        </w:rPr>
        <w:t>- und dieselben schriftlichen Vornoten haben.</w:t>
      </w:r>
      <w:r w:rsidR="00021D80">
        <w:rPr>
          <w:b/>
          <w:bCs/>
        </w:rPr>
        <w:t xml:space="preserve"> </w:t>
      </w:r>
      <w:r w:rsidR="00321D50" w:rsidRPr="00E01E99">
        <w:rPr>
          <w:b/>
          <w:bCs/>
        </w:rPr>
        <w:t>Wie erklären Sie sich</w:t>
      </w:r>
      <w:r w:rsidR="00403558" w:rsidRPr="00E01E99">
        <w:rPr>
          <w:b/>
          <w:bCs/>
        </w:rPr>
        <w:t xml:space="preserve"> das?</w:t>
      </w:r>
      <w:r w:rsidR="003C3127" w:rsidRPr="00E01E99">
        <w:rPr>
          <w:b/>
          <w:bCs/>
        </w:rPr>
        <w:t xml:space="preserve"> </w:t>
      </w:r>
    </w:p>
    <w:p w14:paraId="533FB208" w14:textId="77777777" w:rsidR="00FB2DE9" w:rsidRDefault="00FB2DE9" w:rsidP="00E01E99">
      <w:pPr>
        <w:jc w:val="both"/>
      </w:pPr>
    </w:p>
    <w:p w14:paraId="14744FD1" w14:textId="167B2077" w:rsidR="00511581" w:rsidRDefault="00610FDE" w:rsidP="00E01E99">
      <w:pPr>
        <w:jc w:val="both"/>
      </w:pPr>
      <w:r>
        <w:t xml:space="preserve">Wichtig ist zunächst: Es handelt sich um Korrelationen; Kausalitäten haben wir nicht nachgewiesen. Dafür muss man genauer hinsehen und die hinter den Ergebnissen liegenden Mechanismen identifizieren. Es gibt verschiedene Erklärungsansätze: Es kann sich um (wahrscheinlich unbewusste) Diskriminierung in der Prüfung handeln. Es kann auch sein, dass Frauen und Kandidat*innen mit Migrationshintergrund Opfer des sog. </w:t>
      </w:r>
      <w:r w:rsidRPr="0009673D">
        <w:rPr>
          <w:i/>
          <w:iCs/>
        </w:rPr>
        <w:t>stereotype threat</w:t>
      </w:r>
      <w:r>
        <w:t xml:space="preserve"> werden: </w:t>
      </w:r>
      <w:r w:rsidR="0009673D">
        <w:t xml:space="preserve">Sie versuchen in der Prüfung unbewusst, sich </w:t>
      </w:r>
      <w:r w:rsidR="001B7849">
        <w:t xml:space="preserve">vermeintlich </w:t>
      </w:r>
      <w:r w:rsidR="0009673D">
        <w:t>männlichen bzw. „deutschen“ Verhaltensmustern anzupassen. Das bindet kognitive Ressourcen, die für die Beantwortung der Prüfungsaufgaben fehlen. Das wäre dann also keine Diskriminierung durch die Prüfenden.</w:t>
      </w:r>
    </w:p>
    <w:p w14:paraId="2AFA9BC8" w14:textId="77777777" w:rsidR="00892FF7" w:rsidRDefault="00892FF7" w:rsidP="00E01E99">
      <w:pPr>
        <w:jc w:val="both"/>
      </w:pPr>
    </w:p>
    <w:p w14:paraId="2EF1795E" w14:textId="08B8F211" w:rsidR="001B7849" w:rsidRDefault="001B7849" w:rsidP="001B7849">
      <w:pPr>
        <w:jc w:val="both"/>
      </w:pPr>
      <w:r>
        <w:t xml:space="preserve">In einer früheren </w:t>
      </w:r>
      <w:r w:rsidR="00511581">
        <w:t>Studie ha</w:t>
      </w:r>
      <w:r>
        <w:t>ben wir</w:t>
      </w:r>
      <w:r w:rsidR="00511581">
        <w:t xml:space="preserve"> </w:t>
      </w:r>
      <w:r>
        <w:t>gesehen</w:t>
      </w:r>
      <w:r w:rsidR="00511581">
        <w:t>, dass der Lernfortschritt von Frauen in der Examensvorbereitung im Durchschnitt langsamer ist als der von Männern.</w:t>
      </w:r>
      <w:r w:rsidR="00511581">
        <w:rPr>
          <w:rStyle w:val="FootnoteReference"/>
        </w:rPr>
        <w:footnoteReference w:id="2"/>
      </w:r>
      <w:r w:rsidR="00892FF7">
        <w:t xml:space="preserve"> Das spricht gegen eine Erklärung, die allein auf eine Diskriminierung durch die mündliche Prüfungskommission abstellt.</w:t>
      </w:r>
      <w:r w:rsidR="00366AE5">
        <w:t xml:space="preserve"> </w:t>
      </w:r>
      <w:r>
        <w:t>Es gibt Erklärungsansätze</w:t>
      </w:r>
      <w:r w:rsidR="000821D1">
        <w:t xml:space="preserve">, </w:t>
      </w:r>
      <w:r>
        <w:t xml:space="preserve">denen zufolge Frauen schlechter im Examen abschneiden, weil sie weniger ehrgeizig oder wettbewerblich seien als Männer. </w:t>
      </w:r>
      <w:r w:rsidR="007B0740">
        <w:t xml:space="preserve">Manche meinen auch, dass Frauen im Abitur bevorteilt sind, also das Staatsexamen die „neutralere“ Prüfung sei. </w:t>
      </w:r>
      <w:r>
        <w:t xml:space="preserve">Meiner Meinung nach </w:t>
      </w:r>
      <w:r w:rsidR="007B0740">
        <w:t xml:space="preserve">deuten die vielfältigen Befunde ungleicher Behandlung und Bewertung auf </w:t>
      </w:r>
      <w:r>
        <w:t>ein fundamentale</w:t>
      </w:r>
      <w:r w:rsidR="007B0740">
        <w:t>s</w:t>
      </w:r>
      <w:r>
        <w:t xml:space="preserve"> </w:t>
      </w:r>
      <w:r w:rsidR="007B0740">
        <w:t xml:space="preserve">gesellschaftliches </w:t>
      </w:r>
      <w:r>
        <w:t xml:space="preserve">Problem </w:t>
      </w:r>
      <w:r w:rsidR="007B0740">
        <w:t>hin</w:t>
      </w:r>
      <w:r>
        <w:t>, dessen Wurzeln wahrscheinlich schon in der Sozialisation im Kindergarten</w:t>
      </w:r>
      <w:r w:rsidR="007B0740">
        <w:t>,</w:t>
      </w:r>
      <w:r>
        <w:t xml:space="preserve"> in der Schule </w:t>
      </w:r>
      <w:r w:rsidR="007B0740">
        <w:t xml:space="preserve">und in der universitären Ausbildung </w:t>
      </w:r>
      <w:r>
        <w:t>liegen und das sich im Prüfungswesen besonders markant zeigt.</w:t>
      </w:r>
    </w:p>
    <w:p w14:paraId="5B2B302A" w14:textId="76AA5D67" w:rsidR="0009673D" w:rsidRDefault="0009673D" w:rsidP="00E01E99">
      <w:pPr>
        <w:jc w:val="both"/>
      </w:pPr>
    </w:p>
    <w:p w14:paraId="6A98F240" w14:textId="0892734B" w:rsidR="008B7B8F" w:rsidRDefault="008B7B8F" w:rsidP="00E01E99">
      <w:pPr>
        <w:jc w:val="both"/>
      </w:pPr>
    </w:p>
    <w:p w14:paraId="755DC941" w14:textId="77777777" w:rsidR="008B7B8F" w:rsidRDefault="008B7B8F" w:rsidP="00E01E99">
      <w:pPr>
        <w:jc w:val="both"/>
      </w:pPr>
    </w:p>
    <w:p w14:paraId="1109842E" w14:textId="0E1D7910" w:rsidR="0009673D" w:rsidRPr="00E01E99" w:rsidRDefault="00A60735" w:rsidP="00E01E99">
      <w:pPr>
        <w:jc w:val="both"/>
        <w:rPr>
          <w:b/>
          <w:bCs/>
        </w:rPr>
      </w:pPr>
      <w:r w:rsidRPr="00E01E99">
        <w:rPr>
          <w:b/>
          <w:bCs/>
        </w:rPr>
        <w:t>Einen interessanten Effekt konnten Sie rund um die Schwellen zur nächsten Notenstufe beobachten.</w:t>
      </w:r>
    </w:p>
    <w:p w14:paraId="34F11B90" w14:textId="77777777" w:rsidR="005A00EA" w:rsidRDefault="005A00EA" w:rsidP="00E01E99">
      <w:pPr>
        <w:jc w:val="both"/>
      </w:pPr>
    </w:p>
    <w:p w14:paraId="1E339F9B" w14:textId="2FC232E6" w:rsidR="003C3127" w:rsidRDefault="0009673D" w:rsidP="00E01E99">
      <w:pPr>
        <w:jc w:val="both"/>
      </w:pPr>
      <w:r>
        <w:t>Erstaunlicherweise sind die schlechteren Bewertungen von Frauen und Menschen mit Migrationshintergrund maßgeblich davon getrieben, dass es für beide unwahrscheinlicher ist, über die nächste Notenschwelle gehoben zu werden. Haben also eine Frau und ein Mann im schriftlichen Ergebnis beide 8,</w:t>
      </w:r>
      <w:r w:rsidR="007B0740">
        <w:t>9</w:t>
      </w:r>
      <w:r>
        <w:t xml:space="preserve"> Punkte, ist es wahrscheinlicher, dass der Mann durch die mündliche Prüfung auf mindestens 9,0 </w:t>
      </w:r>
      <w:r w:rsidR="00C84E6C">
        <w:t xml:space="preserve">Punkte </w:t>
      </w:r>
      <w:r>
        <w:t>kommt, als die Frau. Dieser Effekt nivelliert sich jedoch, sobald mindestens eine Frau in der Prüfungskommission sitzt.</w:t>
      </w:r>
      <w:r w:rsidR="003E53D0">
        <w:t xml:space="preserve"> Ob die Prüfungskommission dagegen aus zwei oder sogar drei Frauen besteht, macht </w:t>
      </w:r>
      <w:r w:rsidR="007B0740">
        <w:t xml:space="preserve">jedenfalls unseren Daten zufolge </w:t>
      </w:r>
      <w:r w:rsidR="003E53D0">
        <w:t>keinen Unterschied</w:t>
      </w:r>
      <w:r w:rsidR="007B0740">
        <w:t xml:space="preserve"> mehr</w:t>
      </w:r>
      <w:r w:rsidR="003E53D0">
        <w:t>.</w:t>
      </w:r>
    </w:p>
    <w:p w14:paraId="35E41DC1" w14:textId="0B563AF3" w:rsidR="00006E38" w:rsidRDefault="00006E38" w:rsidP="00E01E99">
      <w:pPr>
        <w:jc w:val="both"/>
      </w:pPr>
    </w:p>
    <w:p w14:paraId="06203AD9" w14:textId="1AEC7591" w:rsidR="00006E38" w:rsidRPr="00E01E99" w:rsidRDefault="00006E38" w:rsidP="00E01E99">
      <w:pPr>
        <w:jc w:val="both"/>
        <w:rPr>
          <w:b/>
          <w:bCs/>
        </w:rPr>
      </w:pPr>
      <w:r w:rsidRPr="00E01E99">
        <w:rPr>
          <w:b/>
          <w:bCs/>
        </w:rPr>
        <w:t>Angesichts dessen ist es erschreckend, dass im Studienzeitraum (2006-2016) in NRW nur in jeder dritten mündlichen Prüfung des zweiten Examens mindestens eine Frau unter den jeweils drei Prüfer*innen war.</w:t>
      </w:r>
      <w:r w:rsidRPr="00E01E99">
        <w:rPr>
          <w:rStyle w:val="FootnoteReference"/>
          <w:b/>
          <w:bCs/>
        </w:rPr>
        <w:footnoteReference w:id="3"/>
      </w:r>
      <w:r w:rsidRPr="00E01E99">
        <w:rPr>
          <w:b/>
          <w:bCs/>
        </w:rPr>
        <w:t xml:space="preserve"> Warum prüfen nicht mehr Frauen?</w:t>
      </w:r>
    </w:p>
    <w:p w14:paraId="38D7646D" w14:textId="77777777" w:rsidR="00006E38" w:rsidRDefault="00006E38" w:rsidP="00E01E99">
      <w:pPr>
        <w:jc w:val="both"/>
      </w:pPr>
    </w:p>
    <w:p w14:paraId="656E3EEA" w14:textId="5170854D" w:rsidR="00020105" w:rsidRDefault="00006E38" w:rsidP="00E01E99">
      <w:pPr>
        <w:jc w:val="both"/>
      </w:pPr>
      <w:r>
        <w:t xml:space="preserve">Die Befunde wurden sehr ernst genommen. Die überwiegende Zahl der Justizprüfungsämter war unangenehm berührt und hat es sich zur Aufgabe gemacht, Prüfungskommissionen zukünftig mit mindestens einer Frau zu besetzen. </w:t>
      </w:r>
      <w:r w:rsidR="00A64D8F">
        <w:t xml:space="preserve">Das Hessische JPA beispielsweise und das GJPA Berlin-Brandenburg sind darum sehr bemüht. </w:t>
      </w:r>
      <w:r>
        <w:t>Es ist aber schwierig für Prüfungsämter, Frauen zu rekrutieren.</w:t>
      </w:r>
    </w:p>
    <w:p w14:paraId="2CFDA139" w14:textId="77777777" w:rsidR="00FB2DE9" w:rsidRDefault="00FB2DE9" w:rsidP="00E01E99">
      <w:pPr>
        <w:jc w:val="both"/>
      </w:pPr>
    </w:p>
    <w:p w14:paraId="644D99AD" w14:textId="194EC675" w:rsidR="00A641A7" w:rsidRPr="00E01E99" w:rsidRDefault="007C6BA8" w:rsidP="00E01E99">
      <w:pPr>
        <w:jc w:val="both"/>
        <w:rPr>
          <w:b/>
          <w:bCs/>
        </w:rPr>
      </w:pPr>
      <w:r w:rsidRPr="00E01E99">
        <w:rPr>
          <w:b/>
          <w:bCs/>
        </w:rPr>
        <w:t>Wie haben Sie darüber hinaus die Reaktionen auf Ihre Studie erlebt?</w:t>
      </w:r>
    </w:p>
    <w:p w14:paraId="7E203D4F" w14:textId="7AA653FA" w:rsidR="007C6BA8" w:rsidRDefault="007C6BA8" w:rsidP="00E01E99">
      <w:pPr>
        <w:jc w:val="both"/>
      </w:pPr>
    </w:p>
    <w:p w14:paraId="77A42E56" w14:textId="1BD1061B" w:rsidR="007C6BA8" w:rsidRDefault="007C6BA8" w:rsidP="00E01E99">
      <w:pPr>
        <w:jc w:val="both"/>
      </w:pPr>
      <w:r>
        <w:t>Die Studie hat einiges Aufsehen erregt: Eine Zusammenfassung schaffte es sogar ins Berliner Fenster der BVG, das Berliner U-Bahn-Fernsehen!</w:t>
      </w:r>
    </w:p>
    <w:p w14:paraId="59F08D8A" w14:textId="759D5CA9" w:rsidR="007C6BA8" w:rsidRDefault="007C6BA8" w:rsidP="00E01E99">
      <w:pPr>
        <w:jc w:val="both"/>
      </w:pPr>
      <w:r>
        <w:t>Die Anwaltschaft war teilweise bestürzt. Viele sagten mir, die Studie habe ihr Vertrauen in die Objektivität der juristischen Staatsexamina ein Stück weit erschüttert.</w:t>
      </w:r>
    </w:p>
    <w:p w14:paraId="3AA9EDAA" w14:textId="77777777" w:rsidR="00511581" w:rsidRDefault="00511581" w:rsidP="00E01E99">
      <w:pPr>
        <w:jc w:val="both"/>
      </w:pPr>
    </w:p>
    <w:p w14:paraId="30F8B8A1" w14:textId="2A4A3EC8" w:rsidR="007C6BA8" w:rsidRDefault="0084787C" w:rsidP="00E01E99">
      <w:pPr>
        <w:jc w:val="both"/>
      </w:pPr>
      <w:r>
        <w:t xml:space="preserve">Die Studienergebnisse sind </w:t>
      </w:r>
      <w:r w:rsidR="007B0740">
        <w:t xml:space="preserve">nach meiner Kenntnis zum Teil auch </w:t>
      </w:r>
      <w:r>
        <w:t xml:space="preserve">Gegenstand von </w:t>
      </w:r>
      <w:r w:rsidR="007B0740">
        <w:t xml:space="preserve">Schulungen </w:t>
      </w:r>
      <w:r>
        <w:t xml:space="preserve">der </w:t>
      </w:r>
      <w:r w:rsidR="007C6BA8">
        <w:t xml:space="preserve">Justizprüfungsämter </w:t>
      </w:r>
      <w:r>
        <w:t xml:space="preserve">für Prüfer*innen. </w:t>
      </w:r>
      <w:r w:rsidR="007B0740">
        <w:t xml:space="preserve">Allerdings </w:t>
      </w:r>
      <w:r>
        <w:t xml:space="preserve">ist die Teilnahme freiwillig. Dennoch habe ich das Gefühl, dass viele Prüfer*innen die Studienergebnisse inzwischen kennen. Als ich letztens Prüfer in einer rein männlich besetzten Kommission war, </w:t>
      </w:r>
      <w:r w:rsidR="007B0740">
        <w:t xml:space="preserve">mahnte </w:t>
      </w:r>
      <w:r>
        <w:t xml:space="preserve">ein Kollege vor der Prüfung, wir sollten </w:t>
      </w:r>
      <w:r w:rsidR="007B0740">
        <w:t xml:space="preserve">uns selbst streng prüfen, ob wir </w:t>
      </w:r>
      <w:r>
        <w:t>diskriminierungsfrei</w:t>
      </w:r>
      <w:r w:rsidR="007B0740">
        <w:t xml:space="preserve"> bewerten</w:t>
      </w:r>
      <w:r>
        <w:t>, es gebe da doch diese Studie.</w:t>
      </w:r>
    </w:p>
    <w:p w14:paraId="36BE6A1E" w14:textId="77777777" w:rsidR="007C6BA8" w:rsidRDefault="007C6BA8" w:rsidP="00E01E99">
      <w:pPr>
        <w:jc w:val="both"/>
        <w:rPr>
          <w:highlight w:val="green"/>
        </w:rPr>
      </w:pPr>
    </w:p>
    <w:p w14:paraId="526B4867" w14:textId="7D574922" w:rsidR="00020105" w:rsidRPr="00E01E99" w:rsidRDefault="00020105" w:rsidP="00E01E99">
      <w:pPr>
        <w:jc w:val="both"/>
        <w:rPr>
          <w:b/>
          <w:bCs/>
        </w:rPr>
      </w:pPr>
      <w:r w:rsidRPr="00E01E99">
        <w:rPr>
          <w:b/>
          <w:bCs/>
        </w:rPr>
        <w:t xml:space="preserve">Sehr spannend ist, dass </w:t>
      </w:r>
      <w:r w:rsidR="00885F31" w:rsidRPr="00E01E99">
        <w:rPr>
          <w:b/>
          <w:bCs/>
        </w:rPr>
        <w:t>Frauen</w:t>
      </w:r>
      <w:r w:rsidRPr="00E01E99">
        <w:rPr>
          <w:b/>
          <w:bCs/>
        </w:rPr>
        <w:t xml:space="preserve"> laut Ihrer Studie in mündlichen Prüfungen an der Uni</w:t>
      </w:r>
      <w:r w:rsidR="007B0740">
        <w:rPr>
          <w:b/>
          <w:bCs/>
        </w:rPr>
        <w:t>versität</w:t>
      </w:r>
      <w:r w:rsidRPr="00E01E99">
        <w:rPr>
          <w:b/>
          <w:bCs/>
        </w:rPr>
        <w:t xml:space="preserve"> im Rahmen des Schwerpunktbereichs </w:t>
      </w:r>
      <w:r w:rsidR="00885F31" w:rsidRPr="00E01E99">
        <w:rPr>
          <w:b/>
          <w:bCs/>
        </w:rPr>
        <w:t xml:space="preserve">nicht schlechter abschneiden als Männer mit vergleichbarem Abitur. </w:t>
      </w:r>
      <w:r w:rsidR="00996C73" w:rsidRPr="00E01E99">
        <w:rPr>
          <w:b/>
          <w:bCs/>
        </w:rPr>
        <w:t xml:space="preserve">Heißt das, </w:t>
      </w:r>
      <w:r w:rsidR="00885F31" w:rsidRPr="00E01E99">
        <w:rPr>
          <w:b/>
          <w:bCs/>
        </w:rPr>
        <w:t xml:space="preserve">Professor*innen </w:t>
      </w:r>
      <w:r w:rsidR="00996C73" w:rsidRPr="00E01E99">
        <w:rPr>
          <w:b/>
          <w:bCs/>
        </w:rPr>
        <w:t xml:space="preserve">sind </w:t>
      </w:r>
      <w:r w:rsidR="004751B1" w:rsidRPr="00E01E99">
        <w:rPr>
          <w:b/>
          <w:bCs/>
        </w:rPr>
        <w:t>fairere</w:t>
      </w:r>
      <w:r w:rsidR="00885F31" w:rsidRPr="00E01E99">
        <w:rPr>
          <w:b/>
          <w:bCs/>
        </w:rPr>
        <w:t xml:space="preserve"> Prüfen</w:t>
      </w:r>
      <w:r w:rsidR="004751B1" w:rsidRPr="00E01E99">
        <w:rPr>
          <w:b/>
          <w:bCs/>
        </w:rPr>
        <w:t>de</w:t>
      </w:r>
      <w:r w:rsidR="00885F31" w:rsidRPr="00E01E99">
        <w:rPr>
          <w:b/>
          <w:bCs/>
        </w:rPr>
        <w:t xml:space="preserve"> als die im Examen prüfenden Praktiker*innen?</w:t>
      </w:r>
    </w:p>
    <w:p w14:paraId="5DC39FE5" w14:textId="34DA00EA" w:rsidR="00885F31" w:rsidRDefault="00885F31" w:rsidP="00E01E99">
      <w:pPr>
        <w:jc w:val="both"/>
        <w:rPr>
          <w:highlight w:val="green"/>
        </w:rPr>
      </w:pPr>
    </w:p>
    <w:p w14:paraId="2A61D9FD" w14:textId="70189AA0" w:rsidR="00885F31" w:rsidRPr="00213C6D" w:rsidRDefault="007B0740" w:rsidP="00E01E99">
      <w:pPr>
        <w:jc w:val="both"/>
      </w:pPr>
      <w:r>
        <w:t xml:space="preserve">Nein, das denke ich nicht. </w:t>
      </w:r>
      <w:r w:rsidR="00213C6D" w:rsidRPr="00213C6D">
        <w:t xml:space="preserve">Ich vermute eher, dass </w:t>
      </w:r>
      <w:r w:rsidR="004F7DBE">
        <w:t>der Befund sich dadurch erklären lässt</w:t>
      </w:r>
      <w:r w:rsidR="00213C6D" w:rsidRPr="00213C6D">
        <w:t xml:space="preserve">, dass in mündlichen Schwerpunktbereichsprüfungen die Vornoten bzw. die weiteren Schwerpunktnoten </w:t>
      </w:r>
      <w:r w:rsidR="00213C6D">
        <w:t xml:space="preserve">den Prüfenden </w:t>
      </w:r>
      <w:r w:rsidR="00213C6D" w:rsidRPr="00213C6D">
        <w:t xml:space="preserve">nicht bekannt sind. </w:t>
      </w:r>
      <w:r w:rsidR="00FE636D">
        <w:t xml:space="preserve">Es gibt also nicht wie </w:t>
      </w:r>
      <w:r w:rsidR="004F7DBE">
        <w:t>in der staatlichen Pflichtfachprüfung</w:t>
      </w:r>
      <w:r w:rsidR="00FE636D">
        <w:t xml:space="preserve"> des </w:t>
      </w:r>
      <w:r w:rsidR="004F7DBE">
        <w:t>e</w:t>
      </w:r>
      <w:r w:rsidR="00FE636D">
        <w:t xml:space="preserve">rsten und wie im </w:t>
      </w:r>
      <w:r w:rsidR="004F7DBE">
        <w:t>z</w:t>
      </w:r>
      <w:r w:rsidR="00FE636D">
        <w:t xml:space="preserve">weiten Examen den Anreiz, Kandidat*innen über eine bestimmte Notenschwelle zu heben. Wie eben erklärt, </w:t>
      </w:r>
      <w:r w:rsidR="00065FF1">
        <w:t>manifestieren</w:t>
      </w:r>
      <w:r w:rsidR="00FE636D">
        <w:t xml:space="preserve"> sich die unterschiedlichen Ergebnisse von Frauen und Männern in mündlichen Staats</w:t>
      </w:r>
      <w:r w:rsidR="00065FF1">
        <w:t>examens</w:t>
      </w:r>
      <w:r w:rsidR="00FE636D">
        <w:t xml:space="preserve">prüfungen </w:t>
      </w:r>
      <w:r w:rsidR="00065FF1">
        <w:t>ja gerade in der Frage, ob es aus Sicht der Kommission für den Sprung über die nächste Notenschwelle reicht.</w:t>
      </w:r>
    </w:p>
    <w:p w14:paraId="4BAD6A98" w14:textId="77777777" w:rsidR="00020105" w:rsidRDefault="00020105" w:rsidP="00E01E99">
      <w:pPr>
        <w:jc w:val="both"/>
        <w:rPr>
          <w:highlight w:val="green"/>
        </w:rPr>
      </w:pPr>
    </w:p>
    <w:p w14:paraId="100D7697" w14:textId="78C57F31" w:rsidR="00A641A7" w:rsidRPr="00E01E99" w:rsidRDefault="00A641A7" w:rsidP="00E01E99">
      <w:pPr>
        <w:jc w:val="both"/>
        <w:rPr>
          <w:b/>
          <w:bCs/>
        </w:rPr>
      </w:pPr>
      <w:r w:rsidRPr="00E01E99">
        <w:rPr>
          <w:b/>
          <w:bCs/>
        </w:rPr>
        <w:t xml:space="preserve">Besteht </w:t>
      </w:r>
      <w:r w:rsidR="00A60735" w:rsidRPr="00E01E99">
        <w:rPr>
          <w:b/>
          <w:bCs/>
        </w:rPr>
        <w:t>vonseiten</w:t>
      </w:r>
      <w:r w:rsidRPr="00E01E99">
        <w:rPr>
          <w:b/>
          <w:bCs/>
        </w:rPr>
        <w:t xml:space="preserve"> der Universitäten und Landesjustizprüfungsämter ein Interesse an der Durchführung weiterer Studien?</w:t>
      </w:r>
    </w:p>
    <w:p w14:paraId="05A1E8C9" w14:textId="2F6C134E" w:rsidR="004421DB" w:rsidRDefault="004421DB" w:rsidP="00E01E99">
      <w:pPr>
        <w:jc w:val="both"/>
      </w:pPr>
    </w:p>
    <w:p w14:paraId="1628931A" w14:textId="7AF0E2F5" w:rsidR="00A60735" w:rsidRDefault="006C17B8" w:rsidP="00E01E99">
      <w:pPr>
        <w:jc w:val="both"/>
      </w:pPr>
      <w:r>
        <w:t>Leider n</w:t>
      </w:r>
      <w:r w:rsidR="004421DB">
        <w:t>ein.</w:t>
      </w:r>
      <w:r w:rsidR="00A60735">
        <w:t xml:space="preserve"> Weitere Studien sind wegen </w:t>
      </w:r>
      <w:r w:rsidR="004F7DBE">
        <w:t>des Zugangs zu den Daten</w:t>
      </w:r>
      <w:r w:rsidR="00A60735">
        <w:t xml:space="preserve"> und der Finanzierung auf die Justizprüfungsämter angewiesen. Bisher ist noch niemand auf uns zugekommen.</w:t>
      </w:r>
      <w:r w:rsidR="004421DB">
        <w:t xml:space="preserve"> </w:t>
      </w:r>
      <w:r w:rsidR="00A60735">
        <w:t>Wir haben einen g</w:t>
      </w:r>
      <w:r w:rsidR="00C66F1F">
        <w:t>anze</w:t>
      </w:r>
      <w:r w:rsidR="00A60735">
        <w:t>n</w:t>
      </w:r>
      <w:r w:rsidR="00C66F1F">
        <w:t xml:space="preserve"> </w:t>
      </w:r>
      <w:r w:rsidR="00A60735">
        <w:t>Strauß</w:t>
      </w:r>
      <w:r w:rsidR="00C66F1F">
        <w:t xml:space="preserve"> an möglichen Fragen vorgeschlagen, </w:t>
      </w:r>
      <w:r w:rsidR="00A60735">
        <w:t xml:space="preserve">um </w:t>
      </w:r>
      <w:r w:rsidR="00C66F1F">
        <w:t>z</w:t>
      </w:r>
      <w:r w:rsidR="00A60735">
        <w:t>.</w:t>
      </w:r>
      <w:r w:rsidR="00C66F1F">
        <w:t>B</w:t>
      </w:r>
      <w:r w:rsidR="00A60735">
        <w:t>. zu prüfen, ob die Erklärung für das bessere Abschneiden von Männern mit denselben Abi</w:t>
      </w:r>
      <w:r w:rsidR="004F7DBE">
        <w:t>tur</w:t>
      </w:r>
      <w:r w:rsidR="00A60735">
        <w:t>noten wie Frauen daran liegt, dass Frauen im Abi</w:t>
      </w:r>
      <w:r w:rsidR="004F7DBE">
        <w:t>tur</w:t>
      </w:r>
      <w:r w:rsidR="00A60735">
        <w:t xml:space="preserve"> bevorteilt sind. </w:t>
      </w:r>
      <w:r w:rsidR="00045C00">
        <w:t xml:space="preserve">Das könnte man </w:t>
      </w:r>
      <w:r w:rsidR="004F7DBE">
        <w:t xml:space="preserve">z.B. </w:t>
      </w:r>
      <w:r w:rsidR="00045C00">
        <w:t xml:space="preserve">durch Intelligenztests prüfen. </w:t>
      </w:r>
      <w:r w:rsidR="00A60735">
        <w:lastRenderedPageBreak/>
        <w:t>Man könnte auch testen, ob unterschiedliche Handschriften zu unbewusster Diskriminierung führen, indem man dieselbe Klausur in unterschiedlichen Handschriften</w:t>
      </w:r>
      <w:r w:rsidR="003C48B6">
        <w:t xml:space="preserve"> abschreiben </w:t>
      </w:r>
      <w:r w:rsidR="004F7DBE">
        <w:t xml:space="preserve">oder tippen </w:t>
      </w:r>
      <w:r w:rsidR="003C48B6">
        <w:t>lässt und</w:t>
      </w:r>
      <w:r w:rsidR="00A60735">
        <w:t xml:space="preserve"> zur Korrektur gibt.</w:t>
      </w:r>
      <w:r w:rsidR="003C48B6">
        <w:t xml:space="preserve"> Insbesondere den Migrationshintergrund in erster Generation kann man an der Handschrift oft erkennen, weil Handschriften z.B. in Osteuropa oder im Nahen und Mittleren Ostern etwas anders aussehen als in Deutschland</w:t>
      </w:r>
      <w:r w:rsidR="004F7DBE">
        <w:t>; und viele Kolleg*innen sagen mir auch, dass sie sich zutrauen, mit hoher Wahrscheinlichkeit männliche oder weibliche Handschriften zu identifizieren</w:t>
      </w:r>
      <w:r w:rsidR="003C48B6">
        <w:t>.</w:t>
      </w:r>
    </w:p>
    <w:p w14:paraId="6FDEBEBF" w14:textId="77777777" w:rsidR="00A60735" w:rsidRDefault="00A60735" w:rsidP="00E01E99">
      <w:pPr>
        <w:jc w:val="both"/>
      </w:pPr>
    </w:p>
    <w:p w14:paraId="6F8B322E" w14:textId="77777777" w:rsidR="00A641A7" w:rsidRDefault="00A641A7" w:rsidP="00E01E99">
      <w:pPr>
        <w:jc w:val="both"/>
      </w:pPr>
    </w:p>
    <w:p w14:paraId="4A10F8CF" w14:textId="114796A1" w:rsidR="008937A8" w:rsidRPr="00E01E99" w:rsidRDefault="008937A8" w:rsidP="00E01E99">
      <w:pPr>
        <w:jc w:val="both"/>
        <w:rPr>
          <w:b/>
          <w:bCs/>
        </w:rPr>
      </w:pPr>
      <w:r w:rsidRPr="00E01E99">
        <w:rPr>
          <w:b/>
          <w:bCs/>
        </w:rPr>
        <w:t>Was muss man in den juristischen Staatsprüfungen</w:t>
      </w:r>
      <w:r w:rsidR="00C84E6C">
        <w:rPr>
          <w:b/>
          <w:bCs/>
        </w:rPr>
        <w:t xml:space="preserve"> ändern, </w:t>
      </w:r>
      <w:r w:rsidRPr="00E01E99">
        <w:rPr>
          <w:b/>
          <w:bCs/>
        </w:rPr>
        <w:t>um eine objektive und faire Notenvergabe sicherzustellen?</w:t>
      </w:r>
    </w:p>
    <w:p w14:paraId="34ADFEDB" w14:textId="77777777" w:rsidR="00F73EBF" w:rsidRDefault="00F73EBF" w:rsidP="00E01E99">
      <w:pPr>
        <w:jc w:val="both"/>
      </w:pPr>
    </w:p>
    <w:p w14:paraId="28E693EF" w14:textId="59C82A4F" w:rsidR="00A7599B" w:rsidRDefault="00A60735" w:rsidP="00E01E99">
      <w:pPr>
        <w:jc w:val="both"/>
      </w:pPr>
      <w:r>
        <w:t xml:space="preserve">Für die Klausurkorrekturen gilt: </w:t>
      </w:r>
      <w:r w:rsidR="004F7DBE">
        <w:t xml:space="preserve">Die </w:t>
      </w:r>
      <w:r>
        <w:t>Zweitgutachter</w:t>
      </w:r>
      <w:r w:rsidR="004F7DBE">
        <w:t>*innen</w:t>
      </w:r>
      <w:r>
        <w:t xml:space="preserve"> sollte</w:t>
      </w:r>
      <w:r w:rsidR="004F7DBE">
        <w:t>n</w:t>
      </w:r>
      <w:r>
        <w:t xml:space="preserve"> das Erstgutachten nicht kennen. Ebenso sollten mündliche Prüfer*innen die schriftlichen Vornoten nicht kennen, um zu vermeiden, dass diese trotz des kurzen Eindrucks von den Kandidat*innen eine Entscheidung über die Gesamtnote, insbesondere über das Erreichen der nächsten Notenstufe treffen. </w:t>
      </w:r>
      <w:r w:rsidR="00A7599B">
        <w:t>Notenschwellen hätten dann nicht mehr so eine große Bedeutung: Mit der Note 8,98 Punkte wäre nicht die Aussage verbunden, dass die Prüfungskommission die Person explizit nicht eines Vollbefriedigend</w:t>
      </w:r>
      <w:r w:rsidR="00D5467D">
        <w:t>s für</w:t>
      </w:r>
      <w:r w:rsidR="00A7599B">
        <w:t xml:space="preserve"> würdig befunden hat.</w:t>
      </w:r>
    </w:p>
    <w:p w14:paraId="47728D19" w14:textId="6F0C038B" w:rsidR="00A60735" w:rsidRDefault="00A60735" w:rsidP="00E01E99">
      <w:pPr>
        <w:jc w:val="both"/>
      </w:pPr>
      <w:r>
        <w:t xml:space="preserve">Die </w:t>
      </w:r>
      <w:r w:rsidR="003A7716">
        <w:t xml:space="preserve">Länder </w:t>
      </w:r>
      <w:r>
        <w:t xml:space="preserve">stehen Reformen hier jedoch sehr zurückhaltend, teils </w:t>
      </w:r>
      <w:r w:rsidR="009840A1">
        <w:t xml:space="preserve">sogar </w:t>
      </w:r>
      <w:r w:rsidR="0030414E">
        <w:t>g</w:t>
      </w:r>
      <w:r w:rsidR="009840A1">
        <w:t>änzlich</w:t>
      </w:r>
      <w:r w:rsidR="0030414E">
        <w:t xml:space="preserve"> </w:t>
      </w:r>
      <w:r>
        <w:t>ablehnend gegenüber.</w:t>
      </w:r>
    </w:p>
    <w:p w14:paraId="2C183B29" w14:textId="364D1D87" w:rsidR="00FB2DE9" w:rsidRDefault="00FB2DE9" w:rsidP="00E01E99">
      <w:pPr>
        <w:jc w:val="both"/>
      </w:pPr>
    </w:p>
    <w:p w14:paraId="47CEF432" w14:textId="77777777" w:rsidR="00FB2DE9" w:rsidRDefault="00FB2DE9" w:rsidP="00E01E99">
      <w:pPr>
        <w:jc w:val="both"/>
      </w:pPr>
    </w:p>
    <w:p w14:paraId="1216EA5C" w14:textId="0AD1EE59" w:rsidR="000F4A2C" w:rsidRPr="00E01E99" w:rsidRDefault="00500C99" w:rsidP="00E01E99">
      <w:pPr>
        <w:jc w:val="both"/>
        <w:rPr>
          <w:b/>
          <w:bCs/>
        </w:rPr>
      </w:pPr>
      <w:r w:rsidRPr="00E01E99">
        <w:rPr>
          <w:b/>
          <w:bCs/>
        </w:rPr>
        <w:t>Was halten Sie von digitalen Prüfungen, wie es sie jetzt in Sachsen-Anhalt gibt?</w:t>
      </w:r>
    </w:p>
    <w:p w14:paraId="5732DCB2" w14:textId="77777777" w:rsidR="00FB2DE9" w:rsidRDefault="00FB2DE9" w:rsidP="00E01E99">
      <w:pPr>
        <w:jc w:val="both"/>
      </w:pPr>
    </w:p>
    <w:p w14:paraId="57413DB2" w14:textId="47ABC27B" w:rsidR="00452B47" w:rsidRDefault="00452B47" w:rsidP="00E01E99">
      <w:pPr>
        <w:jc w:val="both"/>
      </w:pPr>
      <w:r>
        <w:t xml:space="preserve">Vor dem </w:t>
      </w:r>
      <w:r w:rsidR="00591D79">
        <w:t>H</w:t>
      </w:r>
      <w:r>
        <w:t xml:space="preserve">intergrund der </w:t>
      </w:r>
      <w:r w:rsidR="00591D79">
        <w:t>S</w:t>
      </w:r>
      <w:r>
        <w:t>tudie finde ich das gut</w:t>
      </w:r>
      <w:r w:rsidR="009C6417">
        <w:t xml:space="preserve">, </w:t>
      </w:r>
      <w:r w:rsidR="00591D79">
        <w:t>meine aber, dass noch e</w:t>
      </w:r>
      <w:r w:rsidR="009C6417">
        <w:t xml:space="preserve">rhebliche technische </w:t>
      </w:r>
      <w:r w:rsidR="00591D79">
        <w:t>H</w:t>
      </w:r>
      <w:r w:rsidR="009C6417">
        <w:t xml:space="preserve">ürden </w:t>
      </w:r>
      <w:r w:rsidR="00591D79">
        <w:t xml:space="preserve">entgegenstehen. </w:t>
      </w:r>
      <w:r w:rsidR="009C6417">
        <w:t xml:space="preserve">Prüfungsämter müssen </w:t>
      </w:r>
      <w:r w:rsidR="00591D79">
        <w:t xml:space="preserve">sehr </w:t>
      </w:r>
      <w:r w:rsidR="009C6417">
        <w:t xml:space="preserve">viele </w:t>
      </w:r>
      <w:r w:rsidR="00591D79">
        <w:t>G</w:t>
      </w:r>
      <w:r w:rsidR="009C6417">
        <w:t>eräte bereit und sicher halten</w:t>
      </w:r>
      <w:r w:rsidR="00994076">
        <w:t xml:space="preserve">, solange es keine sichere </w:t>
      </w:r>
      <w:r w:rsidR="004F7DBE">
        <w:rPr>
          <w:i/>
        </w:rPr>
        <w:t>b</w:t>
      </w:r>
      <w:r w:rsidR="00994076" w:rsidRPr="00C0134A">
        <w:rPr>
          <w:i/>
        </w:rPr>
        <w:t>ring your own device-</w:t>
      </w:r>
      <w:r w:rsidR="00994076">
        <w:t>Policy gibt</w:t>
      </w:r>
      <w:r w:rsidR="009C6417">
        <w:t xml:space="preserve">. </w:t>
      </w:r>
      <w:r w:rsidR="00591D79">
        <w:t>Konsequenterweise müssten wir dann a</w:t>
      </w:r>
      <w:r w:rsidR="009C6417">
        <w:t>uch an</w:t>
      </w:r>
      <w:r w:rsidR="00591D79">
        <w:t xml:space="preserve"> den</w:t>
      </w:r>
      <w:r w:rsidR="009C6417">
        <w:t xml:space="preserve"> </w:t>
      </w:r>
      <w:r w:rsidR="00591D79">
        <w:t>U</w:t>
      </w:r>
      <w:r w:rsidR="009C6417">
        <w:t>ni</w:t>
      </w:r>
      <w:r w:rsidR="003A7716">
        <w:t>versitäten</w:t>
      </w:r>
      <w:r w:rsidR="009C6417">
        <w:t xml:space="preserve"> </w:t>
      </w:r>
      <w:r w:rsidR="00591D79">
        <w:t>P</w:t>
      </w:r>
      <w:r w:rsidR="009C6417">
        <w:t xml:space="preserve">rüfungen </w:t>
      </w:r>
      <w:r w:rsidR="00591D79">
        <w:t>digital</w:t>
      </w:r>
      <w:r w:rsidR="009C6417">
        <w:t xml:space="preserve"> abnehmen.</w:t>
      </w:r>
      <w:r w:rsidR="00912277">
        <w:t xml:space="preserve"> Das würde eine große technische Aufrüstung voraussetzen</w:t>
      </w:r>
      <w:r w:rsidR="003A7716">
        <w:t xml:space="preserve"> — jedenfalls, wenn wir weiterhin die zulässigen Hilfsmittel beschränken wollen, wofür Vieles spricht, um nicht ganz neue Probleme zu schaffen</w:t>
      </w:r>
      <w:r w:rsidR="00912277">
        <w:t>.</w:t>
      </w:r>
    </w:p>
    <w:p w14:paraId="588A31EB" w14:textId="77777777" w:rsidR="00511581" w:rsidRDefault="00511581" w:rsidP="00E01E99">
      <w:pPr>
        <w:jc w:val="both"/>
      </w:pPr>
    </w:p>
    <w:p w14:paraId="73FF8385" w14:textId="2306D79C" w:rsidR="00D41A34" w:rsidRDefault="00C0134A" w:rsidP="00E01E99">
      <w:pPr>
        <w:jc w:val="both"/>
      </w:pPr>
      <w:r>
        <w:t>Aber</w:t>
      </w:r>
      <w:r w:rsidR="00AA1AFF">
        <w:t xml:space="preserve">: </w:t>
      </w:r>
      <w:r>
        <w:t>Auch das ist nur die B</w:t>
      </w:r>
      <w:r w:rsidR="00AA1AFF">
        <w:t xml:space="preserve">ehandlung </w:t>
      </w:r>
      <w:r>
        <w:t>ein</w:t>
      </w:r>
      <w:r w:rsidR="00AA1AFF">
        <w:t xml:space="preserve">es </w:t>
      </w:r>
      <w:r>
        <w:t>S</w:t>
      </w:r>
      <w:r w:rsidR="00AA1AFF">
        <w:t>ymptoms</w:t>
      </w:r>
      <w:r>
        <w:t>. Ergebnisunterschiede zwischen den Geschlechtern sind Ausdruck eines</w:t>
      </w:r>
      <w:r w:rsidR="00AA1AFF">
        <w:t xml:space="preserve"> gesellschaftl</w:t>
      </w:r>
      <w:r>
        <w:t>ichen</w:t>
      </w:r>
      <w:r w:rsidR="00AA1AFF">
        <w:t xml:space="preserve"> Problem</w:t>
      </w:r>
      <w:r>
        <w:t>s, das wir viel breiter angehen müssen.</w:t>
      </w:r>
    </w:p>
    <w:p w14:paraId="39037DC3" w14:textId="77777777" w:rsidR="00FB2DE9" w:rsidRDefault="00FB2DE9" w:rsidP="00E01E99">
      <w:pPr>
        <w:jc w:val="both"/>
      </w:pPr>
    </w:p>
    <w:p w14:paraId="59A7C73A" w14:textId="77777777" w:rsidR="003E1BCB" w:rsidRDefault="003E1BCB" w:rsidP="00E01E99">
      <w:pPr>
        <w:jc w:val="both"/>
      </w:pPr>
    </w:p>
    <w:p w14:paraId="1492ECB1" w14:textId="2988F2CC" w:rsidR="008937A8" w:rsidRPr="00E01E99" w:rsidRDefault="008937A8" w:rsidP="00E01E99">
      <w:pPr>
        <w:jc w:val="both"/>
        <w:rPr>
          <w:b/>
          <w:bCs/>
        </w:rPr>
      </w:pPr>
      <w:r w:rsidRPr="00E01E99">
        <w:rPr>
          <w:b/>
          <w:bCs/>
        </w:rPr>
        <w:t>Was können der djb und seine Mitglieder tun</w:t>
      </w:r>
      <w:r w:rsidR="000F4A2C" w:rsidRPr="00E01E99">
        <w:rPr>
          <w:b/>
          <w:bCs/>
        </w:rPr>
        <w:t>, um sich für eine diskriminierungsfreie Benotung einzusetzen</w:t>
      </w:r>
      <w:r w:rsidRPr="00E01E99">
        <w:rPr>
          <w:b/>
          <w:bCs/>
        </w:rPr>
        <w:t>?</w:t>
      </w:r>
    </w:p>
    <w:p w14:paraId="05D75354" w14:textId="30A4817A" w:rsidR="00EF0B3E" w:rsidRDefault="00EF0B3E" w:rsidP="00E01E99">
      <w:pPr>
        <w:jc w:val="both"/>
      </w:pPr>
    </w:p>
    <w:p w14:paraId="3207F57F" w14:textId="7B1814CC" w:rsidR="00EF0B3E" w:rsidRDefault="00ED6E43" w:rsidP="00E01E99">
      <w:pPr>
        <w:jc w:val="both"/>
      </w:pPr>
      <w:r>
        <w:t>Auf</w:t>
      </w:r>
      <w:r w:rsidR="00FB2DE9">
        <w:t xml:space="preserve"> das</w:t>
      </w:r>
      <w:r>
        <w:t xml:space="preserve"> </w:t>
      </w:r>
      <w:r w:rsidR="00FB2DE9">
        <w:t>P</w:t>
      </w:r>
      <w:r>
        <w:t>rüfungsverf</w:t>
      </w:r>
      <w:r w:rsidR="00FB2DE9">
        <w:t>ahren</w:t>
      </w:r>
      <w:r>
        <w:t xml:space="preserve"> bezogen: bleiben</w:t>
      </w:r>
      <w:r w:rsidR="00373EA1">
        <w:t xml:space="preserve"> Sie wachsam</w:t>
      </w:r>
      <w:r>
        <w:t xml:space="preserve">, dass </w:t>
      </w:r>
      <w:r w:rsidR="00FB2DE9">
        <w:t xml:space="preserve">Bestrebungen, </w:t>
      </w:r>
      <w:r w:rsidR="00C47CBA">
        <w:t xml:space="preserve">jede Prüfungskommission mit </w:t>
      </w:r>
      <w:r w:rsidR="00FB2DE9">
        <w:t>mindestens</w:t>
      </w:r>
      <w:r>
        <w:t xml:space="preserve"> eine</w:t>
      </w:r>
      <w:r w:rsidR="00C47CBA">
        <w:t>r</w:t>
      </w:r>
      <w:r>
        <w:t xml:space="preserve"> </w:t>
      </w:r>
      <w:r w:rsidR="00FB2DE9">
        <w:t>F</w:t>
      </w:r>
      <w:r>
        <w:t xml:space="preserve">rau </w:t>
      </w:r>
      <w:r w:rsidR="00C47CBA">
        <w:t xml:space="preserve">zu besetzen, weiterverfolgt werden. Sie können auf </w:t>
      </w:r>
      <w:r>
        <w:t xml:space="preserve">strukturelle </w:t>
      </w:r>
      <w:r w:rsidR="00C47CBA">
        <w:t>V</w:t>
      </w:r>
      <w:r>
        <w:t>eränderung</w:t>
      </w:r>
      <w:r w:rsidR="00C47CBA">
        <w:t>en</w:t>
      </w:r>
      <w:r>
        <w:t xml:space="preserve"> in der </w:t>
      </w:r>
      <w:r w:rsidR="00C47CBA">
        <w:t>P</w:t>
      </w:r>
      <w:r>
        <w:t>rüfung</w:t>
      </w:r>
      <w:r w:rsidR="00C47CBA">
        <w:t xml:space="preserve"> hinwirken</w:t>
      </w:r>
      <w:r w:rsidR="00A64D8F">
        <w:t>, wie ich sie eben vorgeschlagen habe</w:t>
      </w:r>
      <w:r w:rsidR="00C47CBA">
        <w:t xml:space="preserve">. Aber </w:t>
      </w:r>
      <w:r>
        <w:t xml:space="preserve">das ist alles noch sehr nah am </w:t>
      </w:r>
      <w:r w:rsidR="00C47CBA">
        <w:t>S</w:t>
      </w:r>
      <w:r>
        <w:t>ymptom.</w:t>
      </w:r>
    </w:p>
    <w:p w14:paraId="4249C784" w14:textId="77777777" w:rsidR="00C47CBA" w:rsidRDefault="00C47CBA" w:rsidP="00E01E99">
      <w:pPr>
        <w:jc w:val="both"/>
      </w:pPr>
    </w:p>
    <w:p w14:paraId="3AD1603F" w14:textId="35186076" w:rsidR="00D1128D" w:rsidRDefault="00C47CBA" w:rsidP="00E01E99">
      <w:pPr>
        <w:jc w:val="both"/>
      </w:pPr>
      <w:r>
        <w:t xml:space="preserve">Der </w:t>
      </w:r>
      <w:r w:rsidR="00ED6E43">
        <w:t>Hauptbeitrag</w:t>
      </w:r>
      <w:r>
        <w:t xml:space="preserve"> sollte daher sein, das Bewusstsein </w:t>
      </w:r>
      <w:r w:rsidR="00ED6E43">
        <w:t xml:space="preserve">für das </w:t>
      </w:r>
      <w:r>
        <w:t>T</w:t>
      </w:r>
      <w:r w:rsidR="00ED6E43">
        <w:t>hema</w:t>
      </w:r>
      <w:r>
        <w:t xml:space="preserve"> in der Gesellschaft zu verstärken und weitere wissenschaftliche Aktivität in dem Bereich einzufordern.</w:t>
      </w:r>
      <w:r w:rsidR="00ED6E43">
        <w:t xml:space="preserve"> </w:t>
      </w:r>
      <w:r w:rsidR="00971F8E">
        <w:t xml:space="preserve">Wir brauchen </w:t>
      </w:r>
      <w:r w:rsidR="00971F8E">
        <w:lastRenderedPageBreak/>
        <w:t>viele Studien aus verschiedenen Blickwinkeln mit unterschiedlicher Methodik,</w:t>
      </w:r>
      <w:r w:rsidR="00ED6E43">
        <w:t xml:space="preserve"> </w:t>
      </w:r>
      <w:r w:rsidR="00971F8E">
        <w:t>um die</w:t>
      </w:r>
      <w:r w:rsidR="00ED6E43">
        <w:t xml:space="preserve"> komplexe </w:t>
      </w:r>
      <w:r w:rsidR="00971F8E">
        <w:t>W</w:t>
      </w:r>
      <w:r w:rsidR="00ED6E43">
        <w:t>irklichkeit</w:t>
      </w:r>
      <w:r w:rsidR="00971F8E">
        <w:t xml:space="preserve"> abzubilden</w:t>
      </w:r>
      <w:r w:rsidR="004F7DBE">
        <w:t xml:space="preserve"> und zu verstehen</w:t>
      </w:r>
      <w:r w:rsidR="00971F8E">
        <w:t>.</w:t>
      </w:r>
    </w:p>
    <w:p w14:paraId="227F3EE2" w14:textId="77777777" w:rsidR="00D1128D" w:rsidRDefault="00D1128D" w:rsidP="00E01E99">
      <w:pPr>
        <w:jc w:val="both"/>
      </w:pPr>
    </w:p>
    <w:p w14:paraId="2E201066" w14:textId="5C80AC6D" w:rsidR="00ED6E43" w:rsidRDefault="00D1128D" w:rsidP="00E01E99">
      <w:pPr>
        <w:jc w:val="both"/>
      </w:pPr>
      <w:r>
        <w:t xml:space="preserve">Insbesondere unbewusste Diskriminierungen sind eine </w:t>
      </w:r>
      <w:r w:rsidR="00D937D4">
        <w:t xml:space="preserve">schwerwiegende soziale </w:t>
      </w:r>
      <w:r>
        <w:t>H</w:t>
      </w:r>
      <w:r w:rsidR="00D937D4">
        <w:t xml:space="preserve">erausforderung, der wir uns aber stellen können. </w:t>
      </w:r>
      <w:r>
        <w:t>Wir alle</w:t>
      </w:r>
      <w:r w:rsidR="00D937D4">
        <w:t xml:space="preserve"> müssen daran arbeiten, gewisse </w:t>
      </w:r>
      <w:r>
        <w:t>F</w:t>
      </w:r>
      <w:r w:rsidR="00D937D4">
        <w:t>ehlleistung</w:t>
      </w:r>
      <w:r>
        <w:t>en</w:t>
      </w:r>
      <w:r w:rsidR="00D937D4">
        <w:t xml:space="preserve"> zu überwinden. </w:t>
      </w:r>
      <w:r>
        <w:t>Dabei geht es nicht darum, mit dem Finger auf andere zu zeigen, sondern auch sich selbst und das eigene Umfeld, sei z.B. an der Uni</w:t>
      </w:r>
      <w:r w:rsidR="004F7DBE">
        <w:t>versität</w:t>
      </w:r>
      <w:r>
        <w:t xml:space="preserve"> oder </w:t>
      </w:r>
      <w:r w:rsidR="004F7DBE">
        <w:t xml:space="preserve">selbst </w:t>
      </w:r>
      <w:r>
        <w:t>im djb, kritisch auf diskriminierende Strukturen hin zu überprüfen.</w:t>
      </w:r>
    </w:p>
    <w:p w14:paraId="5AC5F323" w14:textId="1D0A48CD" w:rsidR="00F15741" w:rsidRDefault="00F15741" w:rsidP="00E01E99">
      <w:pPr>
        <w:jc w:val="both"/>
      </w:pPr>
    </w:p>
    <w:p w14:paraId="48D9D0FB" w14:textId="3F6E9DA1" w:rsidR="008937A8" w:rsidRPr="00F66205" w:rsidRDefault="00E01E99" w:rsidP="00F66205">
      <w:pPr>
        <w:jc w:val="both"/>
        <w:rPr>
          <w:b/>
          <w:bCs/>
        </w:rPr>
      </w:pPr>
      <w:r w:rsidRPr="00E01E99">
        <w:rPr>
          <w:b/>
          <w:bCs/>
        </w:rPr>
        <w:t>Vielen Dank!</w:t>
      </w:r>
    </w:p>
    <w:sectPr w:rsidR="008937A8" w:rsidRPr="00F66205" w:rsidSect="00E21361">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A5F6F" w14:textId="77777777" w:rsidR="0065605F" w:rsidRDefault="0065605F" w:rsidP="000B10E2">
      <w:r>
        <w:separator/>
      </w:r>
    </w:p>
  </w:endnote>
  <w:endnote w:type="continuationSeparator" w:id="0">
    <w:p w14:paraId="1437764E" w14:textId="77777777" w:rsidR="0065605F" w:rsidRDefault="0065605F" w:rsidP="000B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2821E" w14:textId="77777777" w:rsidR="0065605F" w:rsidRDefault="0065605F" w:rsidP="000B10E2">
      <w:r>
        <w:separator/>
      </w:r>
    </w:p>
  </w:footnote>
  <w:footnote w:type="continuationSeparator" w:id="0">
    <w:p w14:paraId="706E8568" w14:textId="77777777" w:rsidR="0065605F" w:rsidRDefault="0065605F" w:rsidP="000B10E2">
      <w:r>
        <w:continuationSeparator/>
      </w:r>
    </w:p>
  </w:footnote>
  <w:footnote w:id="1">
    <w:p w14:paraId="4D60AFAC" w14:textId="77777777" w:rsidR="00C459F1" w:rsidRDefault="00C459F1">
      <w:pPr>
        <w:pStyle w:val="FootnoteText"/>
      </w:pPr>
      <w:r>
        <w:rPr>
          <w:rStyle w:val="FootnoteReference"/>
        </w:rPr>
        <w:footnoteRef/>
      </w:r>
      <w:r>
        <w:t xml:space="preserve"> </w:t>
      </w:r>
      <w:r w:rsidRPr="00C459F1">
        <w:rPr>
          <w:i/>
          <w:iCs/>
        </w:rPr>
        <w:t>Towfigh/Traxler/Glöckner</w:t>
      </w:r>
      <w:r>
        <w:t xml:space="preserve"> ZDRW 2018, 115.</w:t>
      </w:r>
    </w:p>
  </w:footnote>
  <w:footnote w:id="2">
    <w:p w14:paraId="16D09657" w14:textId="5C1600EB" w:rsidR="00511581" w:rsidRDefault="00511581">
      <w:pPr>
        <w:pStyle w:val="FootnoteText"/>
      </w:pPr>
      <w:r w:rsidRPr="00BB0D5B">
        <w:rPr>
          <w:rStyle w:val="FootnoteReference"/>
        </w:rPr>
        <w:footnoteRef/>
      </w:r>
      <w:r w:rsidRPr="00BB0D5B">
        <w:t xml:space="preserve"> </w:t>
      </w:r>
      <w:r w:rsidR="001B7849" w:rsidRPr="00BB0D5B">
        <w:rPr>
          <w:i/>
          <w:iCs/>
        </w:rPr>
        <w:t>Glöckner/Towfigh/Traxler</w:t>
      </w:r>
      <w:r w:rsidR="001B7849">
        <w:t xml:space="preserve"> InstrSci 41 (2013), 989.</w:t>
      </w:r>
    </w:p>
  </w:footnote>
  <w:footnote w:id="3">
    <w:p w14:paraId="2E7B297B" w14:textId="577C46A1" w:rsidR="00006E38" w:rsidRDefault="00006E38" w:rsidP="00006E38">
      <w:pPr>
        <w:pStyle w:val="FootnoteText"/>
      </w:pPr>
      <w:r>
        <w:rPr>
          <w:rStyle w:val="FootnoteReference"/>
        </w:rPr>
        <w:footnoteRef/>
      </w:r>
      <w:r>
        <w:t xml:space="preserve"> </w:t>
      </w:r>
      <w:r w:rsidR="00511581" w:rsidRPr="00C459F1">
        <w:rPr>
          <w:i/>
          <w:iCs/>
        </w:rPr>
        <w:t>Towfigh/Traxler/Glöckner</w:t>
      </w:r>
      <w:r w:rsidR="00511581">
        <w:t xml:space="preserve"> ZDRW 2018</w:t>
      </w:r>
      <w:r>
        <w:t>, S. 121, 138 Fn.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D6B6" w14:textId="77777777" w:rsidR="000B10E2" w:rsidRDefault="000B10E2" w:rsidP="000B10E2">
    <w:pPr>
      <w:pStyle w:val="Header"/>
      <w:jc w:val="right"/>
    </w:pPr>
    <w:r>
      <w:t>Nora Wienfort</w:t>
    </w:r>
  </w:p>
  <w:p w14:paraId="261FE048" w14:textId="77BFD78E" w:rsidR="000B10E2" w:rsidRDefault="00B86C3C" w:rsidP="000B10E2">
    <w:pPr>
      <w:pStyle w:val="Header"/>
      <w:jc w:val="right"/>
    </w:pPr>
    <w:r>
      <w:t>30</w:t>
    </w:r>
    <w:r w:rsidR="000B10E2">
      <w:t>. November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E2"/>
    <w:rsid w:val="0000124F"/>
    <w:rsid w:val="00006E38"/>
    <w:rsid w:val="00014EBC"/>
    <w:rsid w:val="00020105"/>
    <w:rsid w:val="00021D80"/>
    <w:rsid w:val="000404AA"/>
    <w:rsid w:val="00045C00"/>
    <w:rsid w:val="00065FF1"/>
    <w:rsid w:val="000821D1"/>
    <w:rsid w:val="00090AFB"/>
    <w:rsid w:val="0009673D"/>
    <w:rsid w:val="00096817"/>
    <w:rsid w:val="000A776C"/>
    <w:rsid w:val="000B10E2"/>
    <w:rsid w:val="000D5780"/>
    <w:rsid w:val="000F4A2C"/>
    <w:rsid w:val="00114305"/>
    <w:rsid w:val="00173240"/>
    <w:rsid w:val="00191E8B"/>
    <w:rsid w:val="001B7849"/>
    <w:rsid w:val="001C62A9"/>
    <w:rsid w:val="001E39DD"/>
    <w:rsid w:val="001F0A22"/>
    <w:rsid w:val="00213C6D"/>
    <w:rsid w:val="002176DA"/>
    <w:rsid w:val="00222994"/>
    <w:rsid w:val="00256CF3"/>
    <w:rsid w:val="00267BAB"/>
    <w:rsid w:val="002A12FD"/>
    <w:rsid w:val="002A347E"/>
    <w:rsid w:val="002A7850"/>
    <w:rsid w:val="002D151A"/>
    <w:rsid w:val="002D5AF4"/>
    <w:rsid w:val="002F3267"/>
    <w:rsid w:val="0030414E"/>
    <w:rsid w:val="00321D50"/>
    <w:rsid w:val="00344EAE"/>
    <w:rsid w:val="00366AE5"/>
    <w:rsid w:val="00366F0F"/>
    <w:rsid w:val="00373EA1"/>
    <w:rsid w:val="00375688"/>
    <w:rsid w:val="003A7716"/>
    <w:rsid w:val="003B074E"/>
    <w:rsid w:val="003C3127"/>
    <w:rsid w:val="003C48B6"/>
    <w:rsid w:val="003D62F7"/>
    <w:rsid w:val="003E1BCB"/>
    <w:rsid w:val="003E53D0"/>
    <w:rsid w:val="003F09D1"/>
    <w:rsid w:val="003F67D4"/>
    <w:rsid w:val="00403558"/>
    <w:rsid w:val="00414C05"/>
    <w:rsid w:val="00415618"/>
    <w:rsid w:val="004313DD"/>
    <w:rsid w:val="004421DB"/>
    <w:rsid w:val="0044683C"/>
    <w:rsid w:val="00452B47"/>
    <w:rsid w:val="004751B1"/>
    <w:rsid w:val="00494F60"/>
    <w:rsid w:val="004C6333"/>
    <w:rsid w:val="004C757B"/>
    <w:rsid w:val="004D1253"/>
    <w:rsid w:val="004F7DBE"/>
    <w:rsid w:val="00500C99"/>
    <w:rsid w:val="00511581"/>
    <w:rsid w:val="005347B7"/>
    <w:rsid w:val="00551443"/>
    <w:rsid w:val="00580365"/>
    <w:rsid w:val="00591D79"/>
    <w:rsid w:val="005A00EA"/>
    <w:rsid w:val="005D6C35"/>
    <w:rsid w:val="005E0BE7"/>
    <w:rsid w:val="0060405B"/>
    <w:rsid w:val="00610FDE"/>
    <w:rsid w:val="00616F46"/>
    <w:rsid w:val="00634694"/>
    <w:rsid w:val="00640CB8"/>
    <w:rsid w:val="0065315B"/>
    <w:rsid w:val="0065605F"/>
    <w:rsid w:val="00677C50"/>
    <w:rsid w:val="0068083F"/>
    <w:rsid w:val="006B1F36"/>
    <w:rsid w:val="006C17B8"/>
    <w:rsid w:val="00704373"/>
    <w:rsid w:val="007114B6"/>
    <w:rsid w:val="007378F8"/>
    <w:rsid w:val="00791BF3"/>
    <w:rsid w:val="00797A93"/>
    <w:rsid w:val="007A42AA"/>
    <w:rsid w:val="007B0740"/>
    <w:rsid w:val="007B5482"/>
    <w:rsid w:val="007C6BA8"/>
    <w:rsid w:val="00804858"/>
    <w:rsid w:val="00836874"/>
    <w:rsid w:val="0084787C"/>
    <w:rsid w:val="00885F31"/>
    <w:rsid w:val="008866C6"/>
    <w:rsid w:val="00892FF7"/>
    <w:rsid w:val="008937A8"/>
    <w:rsid w:val="008A1C4A"/>
    <w:rsid w:val="008B7B8F"/>
    <w:rsid w:val="008D55FA"/>
    <w:rsid w:val="00907373"/>
    <w:rsid w:val="00912277"/>
    <w:rsid w:val="00960E2B"/>
    <w:rsid w:val="00971BB6"/>
    <w:rsid w:val="00971F8E"/>
    <w:rsid w:val="009840A1"/>
    <w:rsid w:val="00994076"/>
    <w:rsid w:val="00996C73"/>
    <w:rsid w:val="009C6417"/>
    <w:rsid w:val="009D741C"/>
    <w:rsid w:val="00A05D3F"/>
    <w:rsid w:val="00A11A52"/>
    <w:rsid w:val="00A16DCA"/>
    <w:rsid w:val="00A231EE"/>
    <w:rsid w:val="00A3769A"/>
    <w:rsid w:val="00A42FDD"/>
    <w:rsid w:val="00A50639"/>
    <w:rsid w:val="00A60735"/>
    <w:rsid w:val="00A641A7"/>
    <w:rsid w:val="00A64D8F"/>
    <w:rsid w:val="00A7001E"/>
    <w:rsid w:val="00A7599B"/>
    <w:rsid w:val="00AA1AFF"/>
    <w:rsid w:val="00AB143A"/>
    <w:rsid w:val="00AC5689"/>
    <w:rsid w:val="00AD1401"/>
    <w:rsid w:val="00B22D05"/>
    <w:rsid w:val="00B86C3C"/>
    <w:rsid w:val="00B87D59"/>
    <w:rsid w:val="00BA41D8"/>
    <w:rsid w:val="00BB0D5B"/>
    <w:rsid w:val="00C0134A"/>
    <w:rsid w:val="00C043ED"/>
    <w:rsid w:val="00C459F1"/>
    <w:rsid w:val="00C47CBA"/>
    <w:rsid w:val="00C53415"/>
    <w:rsid w:val="00C66F1F"/>
    <w:rsid w:val="00C83521"/>
    <w:rsid w:val="00C84E6C"/>
    <w:rsid w:val="00CB3FA7"/>
    <w:rsid w:val="00CC656B"/>
    <w:rsid w:val="00D036BF"/>
    <w:rsid w:val="00D1128D"/>
    <w:rsid w:val="00D41A34"/>
    <w:rsid w:val="00D5467D"/>
    <w:rsid w:val="00D937D4"/>
    <w:rsid w:val="00DC6EFC"/>
    <w:rsid w:val="00DE7C13"/>
    <w:rsid w:val="00E01E99"/>
    <w:rsid w:val="00E21361"/>
    <w:rsid w:val="00E4586C"/>
    <w:rsid w:val="00E730FF"/>
    <w:rsid w:val="00ED6E43"/>
    <w:rsid w:val="00EF0B3E"/>
    <w:rsid w:val="00F05ACF"/>
    <w:rsid w:val="00F15741"/>
    <w:rsid w:val="00F41CAB"/>
    <w:rsid w:val="00F43E2D"/>
    <w:rsid w:val="00F51D39"/>
    <w:rsid w:val="00F66205"/>
    <w:rsid w:val="00F70974"/>
    <w:rsid w:val="00F73EBF"/>
    <w:rsid w:val="00FB2DE9"/>
    <w:rsid w:val="00FC32CC"/>
    <w:rsid w:val="00FE2D54"/>
    <w:rsid w:val="00FE636D"/>
    <w:rsid w:val="00FE6818"/>
    <w:rsid w:val="00FF6CB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F250E8"/>
  <w14:defaultImageDpi w14:val="32767"/>
  <w15:chartTrackingRefBased/>
  <w15:docId w15:val="{0D77FF07-9004-B948-9D39-E6C05698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0E2"/>
    <w:pPr>
      <w:tabs>
        <w:tab w:val="center" w:pos="4536"/>
        <w:tab w:val="right" w:pos="9072"/>
      </w:tabs>
    </w:pPr>
  </w:style>
  <w:style w:type="character" w:customStyle="1" w:styleId="HeaderChar">
    <w:name w:val="Header Char"/>
    <w:basedOn w:val="DefaultParagraphFont"/>
    <w:link w:val="Header"/>
    <w:uiPriority w:val="99"/>
    <w:rsid w:val="000B10E2"/>
  </w:style>
  <w:style w:type="paragraph" w:styleId="Footer">
    <w:name w:val="footer"/>
    <w:basedOn w:val="Normal"/>
    <w:link w:val="FooterChar"/>
    <w:uiPriority w:val="99"/>
    <w:unhideWhenUsed/>
    <w:rsid w:val="000B10E2"/>
    <w:pPr>
      <w:tabs>
        <w:tab w:val="center" w:pos="4536"/>
        <w:tab w:val="right" w:pos="9072"/>
      </w:tabs>
    </w:pPr>
  </w:style>
  <w:style w:type="character" w:customStyle="1" w:styleId="FooterChar">
    <w:name w:val="Footer Char"/>
    <w:basedOn w:val="DefaultParagraphFont"/>
    <w:link w:val="Footer"/>
    <w:uiPriority w:val="99"/>
    <w:rsid w:val="000B10E2"/>
  </w:style>
  <w:style w:type="paragraph" w:styleId="FootnoteText">
    <w:name w:val="footnote text"/>
    <w:basedOn w:val="Normal"/>
    <w:link w:val="FootnoteTextChar"/>
    <w:uiPriority w:val="99"/>
    <w:semiHidden/>
    <w:unhideWhenUsed/>
    <w:rsid w:val="00C459F1"/>
    <w:rPr>
      <w:sz w:val="20"/>
      <w:szCs w:val="20"/>
    </w:rPr>
  </w:style>
  <w:style w:type="character" w:customStyle="1" w:styleId="FootnoteTextChar">
    <w:name w:val="Footnote Text Char"/>
    <w:basedOn w:val="DefaultParagraphFont"/>
    <w:link w:val="FootnoteText"/>
    <w:uiPriority w:val="99"/>
    <w:semiHidden/>
    <w:rsid w:val="00C459F1"/>
    <w:rPr>
      <w:sz w:val="20"/>
      <w:szCs w:val="20"/>
    </w:rPr>
  </w:style>
  <w:style w:type="character" w:styleId="FootnoteReference">
    <w:name w:val="footnote reference"/>
    <w:basedOn w:val="DefaultParagraphFont"/>
    <w:uiPriority w:val="99"/>
    <w:semiHidden/>
    <w:unhideWhenUsed/>
    <w:rsid w:val="00C459F1"/>
    <w:rPr>
      <w:vertAlign w:val="superscript"/>
    </w:rPr>
  </w:style>
  <w:style w:type="paragraph" w:styleId="BalloonText">
    <w:name w:val="Balloon Text"/>
    <w:basedOn w:val="Normal"/>
    <w:link w:val="BalloonTextChar"/>
    <w:uiPriority w:val="99"/>
    <w:semiHidden/>
    <w:unhideWhenUsed/>
    <w:rsid w:val="00494F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F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30FF"/>
    <w:rPr>
      <w:sz w:val="16"/>
      <w:szCs w:val="16"/>
    </w:rPr>
  </w:style>
  <w:style w:type="paragraph" w:styleId="CommentText">
    <w:name w:val="annotation text"/>
    <w:basedOn w:val="Normal"/>
    <w:link w:val="CommentTextChar"/>
    <w:uiPriority w:val="99"/>
    <w:semiHidden/>
    <w:unhideWhenUsed/>
    <w:rsid w:val="00E730FF"/>
    <w:rPr>
      <w:sz w:val="20"/>
      <w:szCs w:val="20"/>
    </w:rPr>
  </w:style>
  <w:style w:type="character" w:customStyle="1" w:styleId="CommentTextChar">
    <w:name w:val="Comment Text Char"/>
    <w:basedOn w:val="DefaultParagraphFont"/>
    <w:link w:val="CommentText"/>
    <w:uiPriority w:val="99"/>
    <w:semiHidden/>
    <w:rsid w:val="00E730FF"/>
    <w:rPr>
      <w:sz w:val="20"/>
      <w:szCs w:val="20"/>
    </w:rPr>
  </w:style>
  <w:style w:type="paragraph" w:styleId="CommentSubject">
    <w:name w:val="annotation subject"/>
    <w:basedOn w:val="CommentText"/>
    <w:next w:val="CommentText"/>
    <w:link w:val="CommentSubjectChar"/>
    <w:uiPriority w:val="99"/>
    <w:semiHidden/>
    <w:unhideWhenUsed/>
    <w:rsid w:val="00E730FF"/>
    <w:rPr>
      <w:b/>
      <w:bCs/>
    </w:rPr>
  </w:style>
  <w:style w:type="character" w:customStyle="1" w:styleId="CommentSubjectChar">
    <w:name w:val="Comment Subject Char"/>
    <w:basedOn w:val="CommentTextChar"/>
    <w:link w:val="CommentSubject"/>
    <w:uiPriority w:val="99"/>
    <w:semiHidden/>
    <w:rsid w:val="00E730FF"/>
    <w:rPr>
      <w:b/>
      <w:bCs/>
      <w:sz w:val="20"/>
      <w:szCs w:val="20"/>
    </w:rPr>
  </w:style>
  <w:style w:type="character" w:styleId="Hyperlink">
    <w:name w:val="Hyperlink"/>
    <w:basedOn w:val="DefaultParagraphFont"/>
    <w:uiPriority w:val="99"/>
    <w:unhideWhenUsed/>
    <w:rsid w:val="001B7849"/>
    <w:rPr>
      <w:color w:val="0563C1" w:themeColor="hyperlink"/>
      <w:u w:val="single"/>
    </w:rPr>
  </w:style>
  <w:style w:type="character" w:styleId="UnresolvedMention">
    <w:name w:val="Unresolved Mention"/>
    <w:basedOn w:val="DefaultParagraphFont"/>
    <w:uiPriority w:val="99"/>
    <w:rsid w:val="001B7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5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1399</Words>
  <Characters>7977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Wienfort</dc:creator>
  <cp:keywords/>
  <dc:description/>
  <cp:lastModifiedBy>Word User</cp:lastModifiedBy>
  <cp:revision>4</cp:revision>
  <dcterms:created xsi:type="dcterms:W3CDTF">2019-12-06T16:51:00Z</dcterms:created>
  <dcterms:modified xsi:type="dcterms:W3CDTF">2020-07-16T13:16:00Z</dcterms:modified>
</cp:coreProperties>
</file>